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744C17" w:rsidRDefault="00744C17" w:rsidP="00CE6B02">
      <w:pPr>
        <w:spacing w:line="560" w:lineRule="exact"/>
        <w:jc w:val="center"/>
        <w:rPr>
          <w:rFonts w:ascii="仿宋_GB2312" w:eastAsia="仿宋_GB2312"/>
          <w:bCs/>
          <w:color w:val="000000"/>
          <w:kern w:val="0"/>
          <w:sz w:val="28"/>
          <w:szCs w:val="28"/>
        </w:rPr>
      </w:pPr>
      <w:r w:rsidRPr="00744C17">
        <w:rPr>
          <w:rFonts w:ascii="黑体" w:eastAsia="黑体" w:hAnsi="黑体" w:hint="eastAsia"/>
          <w:sz w:val="32"/>
          <w:szCs w:val="32"/>
        </w:rPr>
        <w:t>《</w:t>
      </w:r>
      <w:r w:rsidR="00EF2260" w:rsidRPr="00EF2260">
        <w:rPr>
          <w:rFonts w:ascii="黑体" w:eastAsia="黑体" w:hAnsi="黑体" w:hint="eastAsia"/>
          <w:sz w:val="32"/>
          <w:szCs w:val="32"/>
        </w:rPr>
        <w:t>工业系统数据处理</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CE6B02">
      <w:pPr>
        <w:tabs>
          <w:tab w:val="left" w:pos="4095"/>
        </w:tabs>
        <w:spacing w:line="500" w:lineRule="exact"/>
        <w:rPr>
          <w:rFonts w:ascii="宋体" w:hAnsi="宋体" w:hint="eastAsia"/>
          <w:szCs w:val="21"/>
        </w:rPr>
      </w:pPr>
      <w:r w:rsidRPr="00D67057">
        <w:rPr>
          <w:rFonts w:ascii="黑体" w:eastAsia="黑体" w:hAnsi="黑体" w:hint="eastAsia"/>
          <w:szCs w:val="21"/>
        </w:rPr>
        <w:t>课程代码：</w:t>
      </w:r>
      <w:r w:rsidR="00B66CB3" w:rsidRPr="00B66CB3">
        <w:rPr>
          <w:rFonts w:ascii="黑体" w:eastAsia="黑体" w:hAnsi="黑体"/>
          <w:szCs w:val="21"/>
        </w:rPr>
        <w:t>081582B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B66CB3" w:rsidRPr="00B66CB3">
        <w:rPr>
          <w:rFonts w:eastAsia="仿宋_GB2312"/>
          <w:b/>
          <w:szCs w:val="21"/>
        </w:rPr>
        <w:t>081582B</w:t>
      </w:r>
    </w:p>
    <w:p w:rsidR="00744C17" w:rsidRPr="00D67057" w:rsidRDefault="00744C17" w:rsidP="00EF2260">
      <w:pPr>
        <w:tabs>
          <w:tab w:val="left" w:pos="4111"/>
        </w:tabs>
        <w:spacing w:line="500" w:lineRule="exact"/>
        <w:ind w:left="3150" w:hangingChars="1500" w:hanging="3150"/>
        <w:rPr>
          <w:rFonts w:eastAsia="仿宋_GB2312"/>
          <w:b/>
          <w:sz w:val="32"/>
          <w:szCs w:val="32"/>
        </w:rPr>
      </w:pPr>
      <w:r w:rsidRPr="00D67057">
        <w:rPr>
          <w:rFonts w:ascii="黑体" w:eastAsia="黑体" w:hAnsi="黑体" w:hint="eastAsia"/>
          <w:szCs w:val="21"/>
        </w:rPr>
        <w:t>课程名称：</w:t>
      </w:r>
      <w:r w:rsidR="00CE6B02" w:rsidRPr="00CE6B02">
        <w:rPr>
          <w:rFonts w:ascii="黑体" w:eastAsia="黑体" w:hAnsi="黑体" w:hint="eastAsia"/>
          <w:szCs w:val="21"/>
        </w:rPr>
        <w:t>数据分析与处理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EF2260">
        <w:rPr>
          <w:rFonts w:eastAsia="仿宋_GB2312"/>
          <w:szCs w:val="21"/>
        </w:rPr>
        <w:t xml:space="preserve">Data Processing </w:t>
      </w:r>
      <w:r w:rsidR="00EF2260">
        <w:rPr>
          <w:rFonts w:eastAsia="仿宋_GB2312" w:hint="eastAsia"/>
          <w:szCs w:val="21"/>
        </w:rPr>
        <w:t xml:space="preserve">of </w:t>
      </w:r>
      <w:r w:rsidR="00EF2260" w:rsidRPr="00EF2260">
        <w:rPr>
          <w:rFonts w:eastAsia="仿宋_GB2312"/>
          <w:szCs w:val="21"/>
        </w:rPr>
        <w:t>Industrial System</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CE6B02">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CE6B02">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CE6B02">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CE6B02">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C02356">
        <w:rPr>
          <w:rFonts w:ascii="黑体" w:eastAsia="黑体" w:hAnsi="黑体" w:hint="eastAsia"/>
          <w:szCs w:val="21"/>
        </w:rPr>
        <w:t>小</w:t>
      </w:r>
      <w:r w:rsidR="00CE6B02">
        <w:rPr>
          <w:rFonts w:ascii="黑体" w:eastAsia="黑体" w:hAnsi="黑体" w:hint="eastAsia"/>
          <w:szCs w:val="21"/>
        </w:rPr>
        <w:t>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02356" w:rsidRPr="00C02356">
        <w:rPr>
          <w:rFonts w:eastAsia="仿宋_GB2312"/>
          <w:b/>
          <w:szCs w:val="21"/>
        </w:rPr>
        <w:t>essay</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FF11A5" w:rsidRPr="008D0935">
        <w:rPr>
          <w:rFonts w:ascii="黑体" w:eastAsia="黑体" w:hAnsi="黑体" w:hint="eastAsia"/>
          <w:szCs w:val="21"/>
        </w:rPr>
        <w:t>微积分、线性</w:t>
      </w:r>
      <w:r w:rsidR="00FF11A5" w:rsidRPr="008D0935">
        <w:rPr>
          <w:rFonts w:ascii="黑体" w:eastAsia="黑体" w:hAnsi="黑体"/>
          <w:szCs w:val="21"/>
        </w:rPr>
        <w:t>代数</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8D0935" w:rsidRPr="008D0935">
        <w:rPr>
          <w:rFonts w:eastAsia="仿宋_GB2312" w:hint="eastAsia"/>
          <w:b/>
          <w:sz w:val="18"/>
          <w:szCs w:val="18"/>
        </w:rPr>
        <w:t>calculous</w:t>
      </w:r>
      <w:r w:rsidR="008D0935" w:rsidRPr="008D0935">
        <w:rPr>
          <w:rFonts w:eastAsia="仿宋_GB2312" w:hint="eastAsia"/>
          <w:b/>
          <w:sz w:val="18"/>
          <w:szCs w:val="18"/>
        </w:rPr>
        <w:t>、</w:t>
      </w:r>
      <w:r w:rsidR="008D0935" w:rsidRPr="008D0935">
        <w:rPr>
          <w:rFonts w:eastAsia="仿宋_GB2312"/>
          <w:b/>
          <w:sz w:val="18"/>
          <w:szCs w:val="18"/>
        </w:rPr>
        <w:t>linear algebra</w:t>
      </w:r>
    </w:p>
    <w:p w:rsidR="00744C17" w:rsidRPr="00D70ADF" w:rsidRDefault="00744C17" w:rsidP="00744C17">
      <w:pPr>
        <w:widowControl/>
        <w:spacing w:line="500" w:lineRule="exact"/>
        <w:jc w:val="left"/>
        <w:rPr>
          <w:rFonts w:ascii="仿宋_GB2312" w:eastAsia="仿宋_GB2312"/>
          <w:kern w:val="0"/>
          <w:sz w:val="32"/>
          <w:szCs w:val="32"/>
        </w:rPr>
      </w:pPr>
    </w:p>
    <w:p w:rsidR="00744C1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w:t>
      </w:r>
      <w:r w:rsidR="00EF2260" w:rsidRPr="00EF2260">
        <w:rPr>
          <w:rFonts w:ascii="宋体" w:hAnsi="宋体" w:hint="eastAsia"/>
          <w:kern w:val="0"/>
          <w:szCs w:val="21"/>
        </w:rPr>
        <w:t>工业系统数据处理</w:t>
      </w:r>
      <w:r w:rsidRPr="00D67057">
        <w:rPr>
          <w:rFonts w:ascii="宋体" w:hAnsi="宋体" w:hint="eastAsia"/>
          <w:kern w:val="0"/>
          <w:szCs w:val="21"/>
        </w:rPr>
        <w:t>》是为</w:t>
      </w:r>
      <w:r w:rsidR="00B02B5E">
        <w:rPr>
          <w:rFonts w:ascii="宋体" w:hAnsi="宋体" w:hint="eastAsia"/>
          <w:kern w:val="0"/>
          <w:szCs w:val="21"/>
        </w:rPr>
        <w:t>工业工程系</w:t>
      </w:r>
      <w:r w:rsidR="00B02B5E">
        <w:rPr>
          <w:rFonts w:ascii="宋体" w:hAnsi="宋体"/>
          <w:kern w:val="0"/>
          <w:szCs w:val="21"/>
        </w:rPr>
        <w:t>高年级本科生</w:t>
      </w:r>
      <w:r w:rsidRPr="00D67057">
        <w:rPr>
          <w:rFonts w:ascii="宋体" w:hAnsi="宋体" w:hint="eastAsia"/>
          <w:kern w:val="0"/>
          <w:szCs w:val="21"/>
        </w:rPr>
        <w:t>而开设的</w:t>
      </w:r>
      <w:r w:rsidR="00B02B5E">
        <w:rPr>
          <w:rFonts w:ascii="宋体" w:hAnsi="宋体" w:hint="eastAsia"/>
          <w:kern w:val="0"/>
          <w:szCs w:val="21"/>
        </w:rPr>
        <w:t>选修</w:t>
      </w:r>
      <w:r w:rsidRPr="00D67057">
        <w:rPr>
          <w:rFonts w:ascii="宋体" w:hAnsi="宋体" w:hint="eastAsia"/>
          <w:kern w:val="0"/>
          <w:szCs w:val="21"/>
        </w:rPr>
        <w:t>课程。</w:t>
      </w:r>
      <w:r w:rsidR="00727216" w:rsidRPr="00727216">
        <w:rPr>
          <w:rFonts w:ascii="宋体" w:hAnsi="宋体" w:hint="eastAsia"/>
          <w:kern w:val="0"/>
          <w:szCs w:val="21"/>
        </w:rPr>
        <w:t>本门课程</w:t>
      </w:r>
      <w:r w:rsidR="00727216" w:rsidRPr="00727216">
        <w:rPr>
          <w:rFonts w:ascii="宋体" w:hAnsi="宋体"/>
          <w:kern w:val="0"/>
          <w:szCs w:val="21"/>
        </w:rPr>
        <w:t>讲授</w:t>
      </w:r>
      <w:r w:rsidR="00727216" w:rsidRPr="00727216">
        <w:rPr>
          <w:rFonts w:ascii="宋体" w:hAnsi="宋体" w:hint="eastAsia"/>
          <w:kern w:val="0"/>
          <w:szCs w:val="21"/>
        </w:rPr>
        <w:t>了数据分析</w:t>
      </w:r>
      <w:r w:rsidR="00727216">
        <w:rPr>
          <w:rFonts w:ascii="宋体" w:hAnsi="宋体" w:hint="eastAsia"/>
          <w:kern w:val="0"/>
          <w:szCs w:val="21"/>
        </w:rPr>
        <w:t>与</w:t>
      </w:r>
      <w:r w:rsidR="00727216">
        <w:rPr>
          <w:rFonts w:ascii="宋体" w:hAnsi="宋体"/>
          <w:kern w:val="0"/>
          <w:szCs w:val="21"/>
        </w:rPr>
        <w:t>处理</w:t>
      </w:r>
      <w:r w:rsidR="00727216" w:rsidRPr="00727216">
        <w:rPr>
          <w:rFonts w:ascii="宋体" w:hAnsi="宋体" w:hint="eastAsia"/>
          <w:kern w:val="0"/>
          <w:szCs w:val="21"/>
        </w:rPr>
        <w:t>的基本内容与方法，</w:t>
      </w:r>
      <w:r w:rsidR="00B02B5E" w:rsidRPr="00B02B5E">
        <w:rPr>
          <w:rFonts w:ascii="宋体" w:hAnsi="宋体" w:hint="eastAsia"/>
          <w:kern w:val="0"/>
          <w:szCs w:val="21"/>
        </w:rPr>
        <w:t>以应用软件为工具，以建立数学模型为方法，以解决实际问题为目的，以提高学生的创新能力为宗旨，主要</w:t>
      </w:r>
      <w:r w:rsidR="004077DC">
        <w:rPr>
          <w:rFonts w:ascii="宋体" w:hAnsi="宋体" w:hint="eastAsia"/>
          <w:kern w:val="0"/>
          <w:szCs w:val="21"/>
        </w:rPr>
        <w:t>讲授</w:t>
      </w:r>
      <w:r w:rsidR="00B02B5E" w:rsidRPr="00B02B5E">
        <w:rPr>
          <w:rFonts w:ascii="宋体" w:hAnsi="宋体" w:hint="eastAsia"/>
          <w:kern w:val="0"/>
          <w:szCs w:val="21"/>
        </w:rPr>
        <w:t>了样本数据的处理方法、线性回归模型与非线性曲线拟合、主成分分析与典型相关分析、判别分析方法、聚类分析以及数值模拟的方法。</w:t>
      </w:r>
    </w:p>
    <w:p w:rsidR="00744C17" w:rsidRPr="00B02B5E" w:rsidRDefault="00744C17" w:rsidP="00744C17">
      <w:pPr>
        <w:widowControl/>
        <w:spacing w:line="500" w:lineRule="exact"/>
        <w:ind w:firstLineChars="200" w:firstLine="640"/>
        <w:jc w:val="left"/>
        <w:rPr>
          <w:rStyle w:val="longtext1"/>
          <w:rFonts w:ascii="仿宋_GB2312" w:eastAsia="仿宋_GB2312"/>
          <w:color w:val="000000"/>
          <w:sz w:val="32"/>
          <w:szCs w:val="32"/>
        </w:rPr>
      </w:pPr>
    </w:p>
    <w:p w:rsidR="00C7059A" w:rsidRDefault="00096E92" w:rsidP="00096E92">
      <w:pPr>
        <w:widowControl/>
        <w:spacing w:line="500" w:lineRule="exact"/>
        <w:ind w:firstLineChars="200" w:firstLine="420"/>
      </w:pPr>
      <w:r w:rsidRPr="00096E92">
        <w:rPr>
          <w:rFonts w:eastAsia="仿宋_GB2312"/>
          <w:szCs w:val="21"/>
        </w:rPr>
        <w:t>"</w:t>
      </w:r>
      <w:r w:rsidR="00EF2260">
        <w:rPr>
          <w:rFonts w:eastAsia="仿宋_GB2312"/>
          <w:szCs w:val="21"/>
        </w:rPr>
        <w:t xml:space="preserve">Data Processing </w:t>
      </w:r>
      <w:r w:rsidR="00EF2260">
        <w:rPr>
          <w:rFonts w:eastAsia="仿宋_GB2312" w:hint="eastAsia"/>
          <w:szCs w:val="21"/>
        </w:rPr>
        <w:t xml:space="preserve">of </w:t>
      </w:r>
      <w:r w:rsidR="00EF2260" w:rsidRPr="00EF2260">
        <w:rPr>
          <w:rFonts w:eastAsia="仿宋_GB2312"/>
          <w:szCs w:val="21"/>
        </w:rPr>
        <w:t>Industrial System</w:t>
      </w:r>
      <w:bookmarkStart w:id="0" w:name="_GoBack"/>
      <w:bookmarkEnd w:id="0"/>
      <w:r w:rsidRPr="00096E92">
        <w:rPr>
          <w:rFonts w:eastAsia="仿宋_GB2312"/>
          <w:szCs w:val="21"/>
        </w:rPr>
        <w:t xml:space="preserve">" is an elective course for undergraduates of industrial engineering. This course teaches the basic content and methods of data analysis and processing, uses the software as a tool to establish a mathematical model for the purpose of solving practical </w:t>
      </w:r>
      <w:r w:rsidR="00520731" w:rsidRPr="00096E92">
        <w:rPr>
          <w:rFonts w:eastAsia="仿宋_GB2312"/>
          <w:szCs w:val="21"/>
        </w:rPr>
        <w:t>problems,</w:t>
      </w:r>
      <w:r w:rsidRPr="00096E92">
        <w:rPr>
          <w:rFonts w:eastAsia="仿宋_GB2312"/>
          <w:szCs w:val="21"/>
        </w:rPr>
        <w:t xml:space="preserve"> improving students' innovative ability .The course mainly contain the sample data processing method, linear regression model and nonlinear curve fitting, principal component analysis and typical correlation analysis, discriminant analysis method, cluster analysis and </w:t>
      </w:r>
      <w:r w:rsidR="00520731" w:rsidRPr="00096E92">
        <w:rPr>
          <w:rFonts w:eastAsia="仿宋_GB2312"/>
          <w:szCs w:val="21"/>
        </w:rPr>
        <w:t>numerical simulation method</w:t>
      </w:r>
      <w:r w:rsidRPr="00096E92">
        <w:rPr>
          <w:rFonts w:eastAsia="仿宋_GB2312"/>
          <w:szCs w:val="21"/>
        </w:rPr>
        <w:t>.</w:t>
      </w:r>
    </w:p>
    <w:sectPr w:rsidR="00C7059A" w:rsidSect="004D05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3D1" w:rsidRDefault="005943D1" w:rsidP="00CE6B02">
      <w:r>
        <w:separator/>
      </w:r>
    </w:p>
  </w:endnote>
  <w:endnote w:type="continuationSeparator" w:id="1">
    <w:p w:rsidR="005943D1" w:rsidRDefault="005943D1" w:rsidP="00CE6B0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3D1" w:rsidRDefault="005943D1" w:rsidP="00CE6B02">
      <w:r>
        <w:separator/>
      </w:r>
    </w:p>
  </w:footnote>
  <w:footnote w:type="continuationSeparator" w:id="1">
    <w:p w:rsidR="005943D1" w:rsidRDefault="005943D1" w:rsidP="00CE6B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96E92"/>
    <w:rsid w:val="0015530B"/>
    <w:rsid w:val="004077DC"/>
    <w:rsid w:val="004D0596"/>
    <w:rsid w:val="00520731"/>
    <w:rsid w:val="005943D1"/>
    <w:rsid w:val="005E5527"/>
    <w:rsid w:val="00727216"/>
    <w:rsid w:val="00744C17"/>
    <w:rsid w:val="008D0935"/>
    <w:rsid w:val="009529CF"/>
    <w:rsid w:val="00B02B5E"/>
    <w:rsid w:val="00B66CB3"/>
    <w:rsid w:val="00C02356"/>
    <w:rsid w:val="00C7059A"/>
    <w:rsid w:val="00CE6B02"/>
    <w:rsid w:val="00D477C6"/>
    <w:rsid w:val="00EF2260"/>
    <w:rsid w:val="00FB7645"/>
    <w:rsid w:val="00FF11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CE6B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6B02"/>
    <w:rPr>
      <w:rFonts w:ascii="Times New Roman" w:eastAsia="宋体" w:hAnsi="Times New Roman" w:cs="Times New Roman"/>
      <w:sz w:val="18"/>
      <w:szCs w:val="18"/>
    </w:rPr>
  </w:style>
  <w:style w:type="paragraph" w:styleId="a4">
    <w:name w:val="footer"/>
    <w:basedOn w:val="a"/>
    <w:link w:val="Char0"/>
    <w:uiPriority w:val="99"/>
    <w:unhideWhenUsed/>
    <w:rsid w:val="00CE6B02"/>
    <w:pPr>
      <w:tabs>
        <w:tab w:val="center" w:pos="4153"/>
        <w:tab w:val="right" w:pos="8306"/>
      </w:tabs>
      <w:snapToGrid w:val="0"/>
      <w:jc w:val="left"/>
    </w:pPr>
    <w:rPr>
      <w:sz w:val="18"/>
      <w:szCs w:val="18"/>
    </w:rPr>
  </w:style>
  <w:style w:type="character" w:customStyle="1" w:styleId="Char0">
    <w:name w:val="页脚 Char"/>
    <w:basedOn w:val="a0"/>
    <w:link w:val="a4"/>
    <w:uiPriority w:val="99"/>
    <w:rsid w:val="00CE6B0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CE6B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6B02"/>
    <w:rPr>
      <w:rFonts w:ascii="Times New Roman" w:eastAsia="宋体" w:hAnsi="Times New Roman" w:cs="Times New Roman"/>
      <w:sz w:val="18"/>
      <w:szCs w:val="18"/>
    </w:rPr>
  </w:style>
  <w:style w:type="paragraph" w:styleId="a4">
    <w:name w:val="footer"/>
    <w:basedOn w:val="a"/>
    <w:link w:val="Char0"/>
    <w:uiPriority w:val="99"/>
    <w:unhideWhenUsed/>
    <w:rsid w:val="00CE6B02"/>
    <w:pPr>
      <w:tabs>
        <w:tab w:val="center" w:pos="4153"/>
        <w:tab w:val="right" w:pos="8306"/>
      </w:tabs>
      <w:snapToGrid w:val="0"/>
      <w:jc w:val="left"/>
    </w:pPr>
    <w:rPr>
      <w:sz w:val="18"/>
      <w:szCs w:val="18"/>
    </w:rPr>
  </w:style>
  <w:style w:type="character" w:customStyle="1" w:styleId="Char0">
    <w:name w:val="页脚 Char"/>
    <w:basedOn w:val="a0"/>
    <w:link w:val="a4"/>
    <w:uiPriority w:val="99"/>
    <w:rsid w:val="00CE6B0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30945463">
      <w:bodyDiv w:val="1"/>
      <w:marLeft w:val="0"/>
      <w:marRight w:val="0"/>
      <w:marTop w:val="0"/>
      <w:marBottom w:val="0"/>
      <w:divBdr>
        <w:top w:val="none" w:sz="0" w:space="0" w:color="auto"/>
        <w:left w:val="none" w:sz="0" w:space="0" w:color="auto"/>
        <w:bottom w:val="none" w:sz="0" w:space="0" w:color="auto"/>
        <w:right w:val="none" w:sz="0" w:space="0" w:color="auto"/>
      </w:divBdr>
    </w:div>
    <w:div w:id="194946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2007-01-01T20:36:00Z</dcterms:created>
  <dcterms:modified xsi:type="dcterms:W3CDTF">2007-01-01T20:36:00Z</dcterms:modified>
</cp:coreProperties>
</file>